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4B9E" w:rsidRDefault="001F2230">
      <w:pPr>
        <w:pStyle w:val="Default"/>
        <w:jc w:val="center"/>
        <w:rPr>
          <w:rFonts w:ascii="Times New Roman" w:eastAsia="Times New Roman" w:hAnsi="Times New Roman" w:cs="Times New Roman"/>
          <w:sz w:val="36"/>
          <w:szCs w:val="36"/>
        </w:rPr>
      </w:pPr>
      <w:bookmarkStart w:id="0" w:name="_GoBack"/>
      <w:bookmarkEnd w:id="0"/>
      <w:r>
        <w:rPr>
          <w:rFonts w:ascii="Verdana" w:hAnsi="Verdana"/>
          <w:b/>
          <w:bCs/>
          <w:sz w:val="32"/>
          <w:szCs w:val="32"/>
        </w:rPr>
        <w:t>OPWDD – Office of People with Developmental Disabilities</w:t>
      </w:r>
    </w:p>
    <w:p w:rsidR="00724B9E" w:rsidRDefault="001F2230">
      <w:pPr>
        <w:pStyle w:val="Default"/>
        <w:jc w:val="center"/>
        <w:rPr>
          <w:rFonts w:ascii="Times New Roman" w:eastAsia="Times New Roman" w:hAnsi="Times New Roman" w:cs="Times New Roman"/>
          <w:sz w:val="36"/>
          <w:szCs w:val="36"/>
        </w:rPr>
      </w:pPr>
      <w:r>
        <w:rPr>
          <w:rFonts w:ascii="Times New Roman" w:hAnsi="Times New Roman"/>
          <w:sz w:val="36"/>
          <w:szCs w:val="36"/>
        </w:rPr>
        <w:t> </w:t>
      </w:r>
    </w:p>
    <w:p w:rsidR="00724B9E" w:rsidRDefault="001F2230">
      <w:pPr>
        <w:pStyle w:val="Default"/>
        <w:rPr>
          <w:rFonts w:ascii="Times New Roman" w:eastAsia="Times New Roman" w:hAnsi="Times New Roman" w:cs="Times New Roman"/>
          <w:sz w:val="36"/>
          <w:szCs w:val="36"/>
        </w:rPr>
      </w:pPr>
      <w:r>
        <w:rPr>
          <w:rFonts w:ascii="Verdana" w:hAnsi="Verdana"/>
          <w:b/>
          <w:bCs/>
          <w:sz w:val="28"/>
          <w:szCs w:val="28"/>
        </w:rPr>
        <w:t>Who Qualifies?</w:t>
      </w:r>
    </w:p>
    <w:p w:rsidR="00724B9E" w:rsidRDefault="001F2230">
      <w:pPr>
        <w:pStyle w:val="Default"/>
        <w:rPr>
          <w:rFonts w:ascii="Times New Roman" w:eastAsia="Times New Roman" w:hAnsi="Times New Roman" w:cs="Times New Roman"/>
          <w:sz w:val="36"/>
          <w:szCs w:val="36"/>
        </w:rPr>
      </w:pPr>
      <w:r>
        <w:rPr>
          <w:rFonts w:ascii="Verdana" w:hAnsi="Verdana"/>
          <w:sz w:val="28"/>
          <w:szCs w:val="28"/>
        </w:rPr>
        <w:t>A person with a “Developmental Disability”</w:t>
      </w:r>
    </w:p>
    <w:p w:rsidR="00724B9E" w:rsidRDefault="001F2230">
      <w:pPr>
        <w:pStyle w:val="Default"/>
        <w:rPr>
          <w:rFonts w:ascii="Times New Roman" w:eastAsia="Times New Roman" w:hAnsi="Times New Roman" w:cs="Times New Roman"/>
          <w:sz w:val="36"/>
          <w:szCs w:val="36"/>
        </w:rPr>
      </w:pPr>
      <w:r>
        <w:rPr>
          <w:rFonts w:ascii="Verdana" w:hAnsi="Verdana"/>
          <w:i/>
          <w:iCs/>
          <w:sz w:val="28"/>
          <w:szCs w:val="28"/>
        </w:rPr>
        <w:t>OPWDD uses Section 1.03(22) of the New York State Mental Hygiene Law as the legal basis for eligibility for OPWDD</w:t>
      </w:r>
    </w:p>
    <w:p w:rsidR="00724B9E" w:rsidRDefault="001F2230">
      <w:pPr>
        <w:pStyle w:val="Default"/>
        <w:rPr>
          <w:rFonts w:ascii="Times New Roman" w:eastAsia="Times New Roman" w:hAnsi="Times New Roman" w:cs="Times New Roman"/>
          <w:sz w:val="36"/>
          <w:szCs w:val="36"/>
        </w:rPr>
      </w:pPr>
      <w:r>
        <w:rPr>
          <w:rFonts w:ascii="Verdana" w:hAnsi="Verdana"/>
          <w:sz w:val="28"/>
          <w:szCs w:val="28"/>
        </w:rPr>
        <w:t>“Developmental Disability” means a disability of a person who is:</w:t>
      </w:r>
    </w:p>
    <w:p w:rsidR="00724B9E" w:rsidRDefault="001F2230">
      <w:pPr>
        <w:pStyle w:val="Default"/>
        <w:rPr>
          <w:rFonts w:ascii="Times New Roman" w:eastAsia="Times New Roman" w:hAnsi="Times New Roman" w:cs="Times New Roman"/>
          <w:sz w:val="36"/>
          <w:szCs w:val="36"/>
        </w:rPr>
      </w:pPr>
      <w:r>
        <w:rPr>
          <w:rFonts w:ascii="Verdana" w:hAnsi="Verdana"/>
          <w:b/>
          <w:bCs/>
          <w:sz w:val="28"/>
          <w:szCs w:val="28"/>
        </w:rPr>
        <w:t>(A)</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Attributable to intellectual disabilities, cerebral palsy, epilepsy, neurological impairment, familial dysautonomia, or autism.</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Attributable to any other condition of a person found to be</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closely related to intellectual disabilities because such condition results in similar impairment of general intellectual functioning or adaptive behavior to that of intellectually disabled persons or requires treatment and services similar to those required for such persons; or</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Attributable to dyslexia resulting from a disability in (1) or (2).</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i/>
          <w:iCs/>
          <w:sz w:val="28"/>
          <w:szCs w:val="28"/>
        </w:rPr>
        <w:t>And</w:t>
      </w:r>
    </w:p>
    <w:p w:rsidR="00724B9E" w:rsidRDefault="001F2230">
      <w:pPr>
        <w:pStyle w:val="Default"/>
        <w:rPr>
          <w:rFonts w:ascii="Times New Roman" w:eastAsia="Times New Roman" w:hAnsi="Times New Roman" w:cs="Times New Roman"/>
          <w:sz w:val="36"/>
          <w:szCs w:val="36"/>
        </w:rPr>
      </w:pPr>
      <w:r>
        <w:rPr>
          <w:rFonts w:ascii="Verdana" w:hAnsi="Verdana"/>
          <w:b/>
          <w:bCs/>
          <w:sz w:val="28"/>
          <w:szCs w:val="28"/>
        </w:rPr>
        <w:t>(B)</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The person applying needs to be under the age of 22 or</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Needs documentation of the disability prior to 22 years of age</w:t>
      </w:r>
    </w:p>
    <w:p w:rsidR="00724B9E" w:rsidRDefault="001F2230">
      <w:pPr>
        <w:pStyle w:val="Default"/>
        <w:rPr>
          <w:rFonts w:ascii="Times New Roman" w:eastAsia="Times New Roman" w:hAnsi="Times New Roman" w:cs="Times New Roman"/>
          <w:sz w:val="36"/>
          <w:szCs w:val="36"/>
        </w:rPr>
      </w:pPr>
      <w:r>
        <w:rPr>
          <w:rFonts w:ascii="Verdana" w:hAnsi="Verdana"/>
          <w:b/>
          <w:bCs/>
          <w:sz w:val="28"/>
          <w:szCs w:val="28"/>
        </w:rPr>
        <w:t>(C)</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Has continued or can be expected to continue indefinitely;</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And</w:t>
      </w:r>
    </w:p>
    <w:p w:rsidR="00724B9E" w:rsidRDefault="001F2230">
      <w:pPr>
        <w:pStyle w:val="Default"/>
        <w:rPr>
          <w:rFonts w:ascii="Times New Roman" w:eastAsia="Times New Roman" w:hAnsi="Times New Roman" w:cs="Times New Roman"/>
          <w:sz w:val="36"/>
          <w:szCs w:val="36"/>
        </w:rPr>
      </w:pPr>
      <w:r>
        <w:rPr>
          <w:rFonts w:ascii="Verdana" w:hAnsi="Verdana"/>
          <w:b/>
          <w:bCs/>
          <w:sz w:val="28"/>
          <w:szCs w:val="28"/>
        </w:rPr>
        <w:t>(D)</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Constitutes a substantial handicap to such person’s ability to function normally in society.</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Each requirement in section (A) is interchangeable; but, at least one of those 3 must occur in combination with the requirements of (B), (C), and (D).  </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A+B=eligibility</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A+C=eligibility</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A+D=eligibility</w:t>
      </w:r>
    </w:p>
    <w:p w:rsidR="00724B9E" w:rsidRDefault="001F2230">
      <w:pPr>
        <w:pStyle w:val="Default"/>
        <w:rPr>
          <w:rFonts w:ascii="Times New Roman" w:eastAsia="Times New Roman" w:hAnsi="Times New Roman" w:cs="Times New Roman"/>
          <w:sz w:val="36"/>
          <w:szCs w:val="36"/>
        </w:rPr>
      </w:pPr>
      <w:r>
        <w:rPr>
          <w:rFonts w:ascii="Times New Roman" w:hAnsi="Times New Roman"/>
          <w:sz w:val="36"/>
          <w:szCs w:val="36"/>
        </w:rPr>
        <w:t> </w:t>
      </w:r>
    </w:p>
    <w:p w:rsidR="00724B9E" w:rsidRDefault="001F2230">
      <w:pPr>
        <w:pStyle w:val="Default"/>
        <w:rPr>
          <w:rFonts w:ascii="Times New Roman" w:eastAsia="Times New Roman" w:hAnsi="Times New Roman" w:cs="Times New Roman"/>
          <w:sz w:val="36"/>
          <w:szCs w:val="36"/>
        </w:rPr>
      </w:pPr>
      <w:r>
        <w:rPr>
          <w:rFonts w:ascii="Verdana" w:hAnsi="Verdana"/>
          <w:b/>
          <w:bCs/>
          <w:sz w:val="28"/>
          <w:szCs w:val="28"/>
        </w:rPr>
        <w:t>What is the application process?</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b/>
          <w:bCs/>
          <w:sz w:val="28"/>
          <w:szCs w:val="28"/>
        </w:rPr>
        <w:t>Known has the “</w:t>
      </w:r>
      <w:r>
        <w:rPr>
          <w:rFonts w:ascii="Verdana" w:hAnsi="Verdana"/>
          <w:b/>
          <w:bCs/>
          <w:sz w:val="28"/>
          <w:szCs w:val="28"/>
          <w:lang w:val="fr-FR"/>
        </w:rPr>
        <w:t>Front Door</w:t>
      </w:r>
      <w:r>
        <w:rPr>
          <w:rFonts w:ascii="Verdana" w:hAnsi="Verdana"/>
          <w:b/>
          <w:bCs/>
          <w:sz w:val="28"/>
          <w:szCs w:val="28"/>
        </w:rPr>
        <w:t>”</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lastRenderedPageBreak/>
        <w:t></w:t>
      </w:r>
      <w:r>
        <w:rPr>
          <w:rFonts w:ascii="Symbol" w:hAnsi="Symbol"/>
          <w:sz w:val="24"/>
          <w:szCs w:val="24"/>
        </w:rPr>
        <w:t></w:t>
      </w:r>
      <w:r>
        <w:rPr>
          <w:rFonts w:ascii="Verdana" w:hAnsi="Verdana"/>
          <w:b/>
          <w:bCs/>
          <w:sz w:val="28"/>
          <w:szCs w:val="28"/>
        </w:rPr>
        <w:t>Link to the FRONT DOOR PROCEDURE</w:t>
      </w:r>
    </w:p>
    <w:p w:rsidR="00724B9E" w:rsidRDefault="001F2230">
      <w:pPr>
        <w:pStyle w:val="Default"/>
        <w:rPr>
          <w:rFonts w:ascii="Times New Roman" w:eastAsia="Times New Roman" w:hAnsi="Times New Roman" w:cs="Times New Roman"/>
          <w:sz w:val="36"/>
          <w:szCs w:val="36"/>
          <w:u w:color="0000FF"/>
        </w:rPr>
      </w:pPr>
      <w:r>
        <w:rPr>
          <w:rFonts w:ascii="Symbol" w:hAnsi="Symbol"/>
          <w:sz w:val="24"/>
          <w:szCs w:val="24"/>
          <w:u w:color="0000FF"/>
        </w:rPr>
        <w:t></w:t>
      </w:r>
      <w:r>
        <w:rPr>
          <w:rFonts w:ascii="Symbol" w:hAnsi="Symbol"/>
          <w:sz w:val="24"/>
          <w:szCs w:val="24"/>
          <w:u w:color="0000FF"/>
        </w:rPr>
        <w:t></w:t>
      </w:r>
      <w:hyperlink r:id="rId6" w:history="1">
        <w:r>
          <w:rPr>
            <w:rStyle w:val="Hyperlink0"/>
            <w:rFonts w:ascii="Verdana" w:hAnsi="Verdana"/>
            <w:b/>
            <w:bCs/>
            <w:color w:val="0000FF"/>
            <w:sz w:val="28"/>
            <w:szCs w:val="28"/>
            <w:u w:color="0000FF"/>
          </w:rPr>
          <w:t>http://www3.opwdd.ny.gov/wp/images/6-3-13_resource_booklet_final_draft.pdf</w:t>
        </w:r>
      </w:hyperlink>
    </w:p>
    <w:p w:rsidR="00724B9E" w:rsidRDefault="001F2230">
      <w:pPr>
        <w:pStyle w:val="Default"/>
        <w:rPr>
          <w:rFonts w:ascii="Times New Roman" w:eastAsia="Times New Roman" w:hAnsi="Times New Roman" w:cs="Times New Roman"/>
          <w:sz w:val="36"/>
          <w:szCs w:val="36"/>
        </w:rPr>
      </w:pPr>
      <w:r>
        <w:rPr>
          <w:rFonts w:ascii="Verdana" w:hAnsi="Verdana"/>
          <w:b/>
          <w:bCs/>
          <w:sz w:val="28"/>
          <w:szCs w:val="28"/>
        </w:rPr>
        <w:t>Required documentation for Eligibility Determination:</w:t>
      </w:r>
    </w:p>
    <w:p w:rsidR="00724B9E" w:rsidRDefault="001F2230">
      <w:pPr>
        <w:pStyle w:val="Default"/>
        <w:rPr>
          <w:rFonts w:ascii="Times New Roman" w:eastAsia="Times New Roman" w:hAnsi="Times New Roman" w:cs="Times New Roman"/>
          <w:sz w:val="36"/>
          <w:szCs w:val="36"/>
        </w:rPr>
      </w:pPr>
      <w:r>
        <w:rPr>
          <w:rFonts w:ascii="Times New Roman" w:hAnsi="Times New Roman"/>
          <w:sz w:val="36"/>
          <w:szCs w:val="36"/>
        </w:rPr>
        <w:t> </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In order to determine if you are eligible for OPWDD services, the following information must be submitted to your local Developmental Disabilities Regional Office (DDRO) Eligibility Coordinator for review:</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 Psychological report within 3 years which includes an assessment of intellectual function (IQ) test This report should include all summary score from the assessment (Full Scale, Index, Part and Subtest Scores).</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For people with IQ scores above 60, an interpretive report of standardized assessment of adaptive score, including summary, composite, scale, and domain score is required.</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For people with IQ scores below 60, an adaptive assessment may be base on an interpretive report using information gathered from interviews with caregivers, records review and direct observation.</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An interpretive report of adaptive behavioral assessment results.</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For conditions other that intellectual (developmental) disability a medical or specialty report which includes health status and diagnostic findings to support diagnosis.</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 recent general medical report should be included in all eligibility requests. A social/developmental history, psychosocial report or other report, which shows that the person became disabled before the age of 22</w:t>
      </w:r>
    </w:p>
    <w:p w:rsidR="00724B9E" w:rsidRDefault="001F2230">
      <w:pPr>
        <w:pStyle w:val="Default"/>
        <w:rPr>
          <w:rFonts w:ascii="Times New Roman" w:eastAsia="Times New Roman" w:hAnsi="Times New Roman" w:cs="Times New Roman"/>
          <w:sz w:val="36"/>
          <w:szCs w:val="36"/>
        </w:rPr>
      </w:pPr>
      <w:r>
        <w:rPr>
          <w:rFonts w:ascii="Verdana" w:hAnsi="Verdana"/>
          <w:b/>
          <w:bCs/>
          <w:sz w:val="28"/>
          <w:szCs w:val="28"/>
        </w:rPr>
        <w:t>And sometimes…</w:t>
      </w:r>
    </w:p>
    <w:p w:rsidR="00724B9E" w:rsidRDefault="001F2230">
      <w:pPr>
        <w:pStyle w:val="Default"/>
        <w:rPr>
          <w:rFonts w:ascii="Times New Roman" w:eastAsia="Times New Roman" w:hAnsi="Times New Roman" w:cs="Times New Roman"/>
          <w:sz w:val="36"/>
          <w:szCs w:val="36"/>
        </w:rPr>
      </w:pPr>
      <w:r>
        <w:rPr>
          <w:rFonts w:ascii="Arial Unicode MS" w:hAnsi="Arial Unicode MS"/>
          <w:sz w:val="24"/>
          <w:szCs w:val="24"/>
        </w:rPr>
        <w:t>➢</w:t>
      </w:r>
      <w:r>
        <w:rPr>
          <w:rFonts w:ascii="Times New Roman" w:hAnsi="Times New Roman"/>
          <w:sz w:val="24"/>
          <w:szCs w:val="24"/>
        </w:rPr>
        <w:t xml:space="preserve"> </w:t>
      </w:r>
      <w:r>
        <w:rPr>
          <w:rFonts w:ascii="Verdana" w:hAnsi="Verdana"/>
          <w:sz w:val="28"/>
          <w:szCs w:val="28"/>
        </w:rPr>
        <w:t>In some cases, the DDRO may require additional information or further evaluations. The DDRO may recommend where additional assessment can be completed.</w:t>
      </w:r>
    </w:p>
    <w:p w:rsidR="00724B9E" w:rsidRDefault="001F2230">
      <w:pPr>
        <w:pStyle w:val="Default"/>
        <w:rPr>
          <w:rFonts w:ascii="Times New Roman" w:eastAsia="Times New Roman" w:hAnsi="Times New Roman" w:cs="Times New Roman"/>
          <w:sz w:val="36"/>
          <w:szCs w:val="36"/>
        </w:rPr>
      </w:pPr>
      <w:r>
        <w:rPr>
          <w:rFonts w:ascii="Times New Roman" w:hAnsi="Times New Roman"/>
          <w:sz w:val="36"/>
          <w:szCs w:val="36"/>
        </w:rPr>
        <w:t> </w:t>
      </w:r>
    </w:p>
    <w:p w:rsidR="00724B9E" w:rsidRDefault="001F2230">
      <w:pPr>
        <w:pStyle w:val="Default"/>
        <w:rPr>
          <w:rFonts w:ascii="Times New Roman" w:eastAsia="Times New Roman" w:hAnsi="Times New Roman" w:cs="Times New Roman"/>
          <w:sz w:val="36"/>
          <w:szCs w:val="36"/>
        </w:rPr>
      </w:pPr>
      <w:r>
        <w:rPr>
          <w:rFonts w:ascii="Arial Unicode MS" w:hAnsi="Arial Unicode MS"/>
          <w:sz w:val="24"/>
          <w:szCs w:val="24"/>
        </w:rPr>
        <w:t>➢</w:t>
      </w:r>
      <w:r>
        <w:rPr>
          <w:rFonts w:ascii="Times New Roman" w:hAnsi="Times New Roman"/>
          <w:sz w:val="24"/>
          <w:szCs w:val="24"/>
        </w:rPr>
        <w:t xml:space="preserve"> </w:t>
      </w:r>
      <w:r>
        <w:rPr>
          <w:rFonts w:ascii="Verdana" w:hAnsi="Verdana"/>
          <w:sz w:val="28"/>
          <w:szCs w:val="28"/>
        </w:rPr>
        <w:t>We recommend that you work with the Eligibility Coordinator at you local DDRO to ensure that you have submitted a completed eligibility packet when requesting an eligibility determination.</w:t>
      </w:r>
    </w:p>
    <w:p w:rsidR="00724B9E" w:rsidRDefault="001F2230">
      <w:pPr>
        <w:pStyle w:val="Default"/>
        <w:rPr>
          <w:rFonts w:ascii="Times New Roman" w:eastAsia="Times New Roman" w:hAnsi="Times New Roman" w:cs="Times New Roman"/>
          <w:sz w:val="36"/>
          <w:szCs w:val="36"/>
        </w:rPr>
      </w:pPr>
      <w:r>
        <w:rPr>
          <w:rFonts w:ascii="Verdana" w:hAnsi="Verdana"/>
          <w:sz w:val="28"/>
          <w:szCs w:val="28"/>
        </w:rPr>
        <w:t>Acceptable Adaptive Assessments for OPWDD packet…</w:t>
      </w:r>
    </w:p>
    <w:p w:rsidR="00724B9E" w:rsidRDefault="001F2230">
      <w:pPr>
        <w:pStyle w:val="Default"/>
        <w:rPr>
          <w:rFonts w:ascii="Times New Roman" w:eastAsia="Times New Roman" w:hAnsi="Times New Roman" w:cs="Times New Roman"/>
          <w:sz w:val="36"/>
          <w:szCs w:val="36"/>
        </w:rPr>
      </w:pPr>
      <w:r>
        <w:rPr>
          <w:rFonts w:ascii="Arial Unicode MS" w:hAnsi="Arial Unicode MS"/>
          <w:sz w:val="24"/>
          <w:szCs w:val="24"/>
        </w:rPr>
        <w:lastRenderedPageBreak/>
        <w:t>➢</w:t>
      </w:r>
      <w:r>
        <w:rPr>
          <w:rFonts w:ascii="Times New Roman" w:hAnsi="Times New Roman"/>
          <w:sz w:val="24"/>
          <w:szCs w:val="24"/>
        </w:rPr>
        <w:t xml:space="preserve"> </w:t>
      </w:r>
      <w:r>
        <w:rPr>
          <w:rFonts w:ascii="Verdana" w:hAnsi="Verdana"/>
          <w:sz w:val="28"/>
          <w:szCs w:val="28"/>
        </w:rPr>
        <w:t>Adaptive Behavior Assessment System</w:t>
      </w:r>
    </w:p>
    <w:p w:rsidR="00724B9E" w:rsidRDefault="001F2230">
      <w:pPr>
        <w:pStyle w:val="Default"/>
        <w:rPr>
          <w:rFonts w:ascii="Times New Roman" w:eastAsia="Times New Roman" w:hAnsi="Times New Roman" w:cs="Times New Roman"/>
          <w:sz w:val="36"/>
          <w:szCs w:val="36"/>
        </w:rPr>
      </w:pPr>
      <w:r>
        <w:rPr>
          <w:rFonts w:ascii="Arial Unicode MS" w:hAnsi="Arial Unicode MS"/>
          <w:sz w:val="24"/>
          <w:szCs w:val="24"/>
        </w:rPr>
        <w:t>➢</w:t>
      </w:r>
      <w:r>
        <w:rPr>
          <w:rFonts w:ascii="Times New Roman" w:hAnsi="Times New Roman"/>
          <w:sz w:val="24"/>
          <w:szCs w:val="24"/>
        </w:rPr>
        <w:t xml:space="preserve"> </w:t>
      </w:r>
      <w:r>
        <w:rPr>
          <w:rFonts w:ascii="Verdana" w:hAnsi="Verdana"/>
          <w:sz w:val="28"/>
          <w:szCs w:val="28"/>
        </w:rPr>
        <w:t>v Vineland Adaptive Behavior Scales</w:t>
      </w:r>
    </w:p>
    <w:p w:rsidR="00724B9E" w:rsidRDefault="001F2230">
      <w:pPr>
        <w:pStyle w:val="Default"/>
        <w:rPr>
          <w:rFonts w:ascii="Times New Roman" w:eastAsia="Times New Roman" w:hAnsi="Times New Roman" w:cs="Times New Roman"/>
          <w:sz w:val="36"/>
          <w:szCs w:val="36"/>
        </w:rPr>
      </w:pPr>
      <w:r>
        <w:rPr>
          <w:rFonts w:ascii="Arial Unicode MS" w:hAnsi="Arial Unicode MS"/>
          <w:sz w:val="24"/>
          <w:szCs w:val="24"/>
        </w:rPr>
        <w:t>➢</w:t>
      </w:r>
      <w:r>
        <w:rPr>
          <w:rFonts w:ascii="Times New Roman" w:hAnsi="Times New Roman"/>
          <w:sz w:val="24"/>
          <w:szCs w:val="24"/>
        </w:rPr>
        <w:t xml:space="preserve"> </w:t>
      </w:r>
      <w:r>
        <w:rPr>
          <w:rFonts w:ascii="Verdana" w:hAnsi="Verdana"/>
          <w:sz w:val="28"/>
          <w:szCs w:val="28"/>
        </w:rPr>
        <w:t>v The Motor Skills Domain only of the Scales of Independent Behavior</w:t>
      </w:r>
    </w:p>
    <w:p w:rsidR="00724B9E" w:rsidRDefault="001F2230">
      <w:pPr>
        <w:pStyle w:val="Default"/>
        <w:rPr>
          <w:rFonts w:ascii="Times New Roman" w:eastAsia="Times New Roman" w:hAnsi="Times New Roman" w:cs="Times New Roman"/>
          <w:sz w:val="36"/>
          <w:szCs w:val="36"/>
        </w:rPr>
      </w:pPr>
      <w:r>
        <w:rPr>
          <w:rFonts w:ascii="Arial Unicode MS" w:hAnsi="Arial Unicode MS"/>
          <w:sz w:val="24"/>
          <w:szCs w:val="24"/>
        </w:rPr>
        <w:t>➢</w:t>
      </w:r>
      <w:r>
        <w:rPr>
          <w:rFonts w:ascii="Times New Roman" w:hAnsi="Times New Roman"/>
          <w:sz w:val="24"/>
          <w:szCs w:val="24"/>
        </w:rPr>
        <w:t xml:space="preserve"> </w:t>
      </w:r>
      <w:r>
        <w:rPr>
          <w:rFonts w:ascii="Verdana" w:hAnsi="Verdana"/>
          <w:sz w:val="28"/>
          <w:szCs w:val="28"/>
        </w:rPr>
        <w:t>v Other adaptive behavior measures are acceptable if they are comprehensive, structured, standardized and have up</w:t>
      </w:r>
      <w:r>
        <w:rPr>
          <w:rFonts w:ascii="Verdana" w:hAnsi="Verdana"/>
          <w:b/>
          <w:bCs/>
          <w:sz w:val="28"/>
          <w:szCs w:val="28"/>
        </w:rPr>
        <w:t>-</w:t>
      </w:r>
      <w:r>
        <w:rPr>
          <w:rFonts w:ascii="Verdana" w:hAnsi="Verdana"/>
          <w:sz w:val="28"/>
          <w:szCs w:val="28"/>
        </w:rPr>
        <w:t>to</w:t>
      </w:r>
      <w:r>
        <w:rPr>
          <w:rFonts w:ascii="Verdana" w:hAnsi="Verdana"/>
          <w:b/>
          <w:bCs/>
          <w:sz w:val="28"/>
          <w:szCs w:val="28"/>
        </w:rPr>
        <w:t>-</w:t>
      </w:r>
      <w:r>
        <w:rPr>
          <w:rFonts w:ascii="Verdana" w:hAnsi="Verdana"/>
          <w:sz w:val="28"/>
          <w:szCs w:val="28"/>
        </w:rPr>
        <w:t>date general population norms. Results from an instrument that is not on this list, but was given prior to the person reaching age 22, can be used to establish a past history of adaptive deficits during the developmental period."    </w:t>
      </w:r>
    </w:p>
    <w:p w:rsidR="00724B9E" w:rsidRDefault="001F2230">
      <w:pPr>
        <w:pStyle w:val="Default"/>
        <w:rPr>
          <w:rFonts w:ascii="Times New Roman" w:eastAsia="Times New Roman" w:hAnsi="Times New Roman" w:cs="Times New Roman"/>
          <w:sz w:val="36"/>
          <w:szCs w:val="36"/>
        </w:rPr>
      </w:pPr>
      <w:r>
        <w:rPr>
          <w:rFonts w:ascii="Arial Unicode MS" w:hAnsi="Arial Unicode MS"/>
          <w:sz w:val="24"/>
          <w:szCs w:val="24"/>
        </w:rPr>
        <w:t>➢</w:t>
      </w:r>
      <w:r>
        <w:rPr>
          <w:rFonts w:ascii="Times New Roman" w:hAnsi="Times New Roman"/>
          <w:sz w:val="24"/>
          <w:szCs w:val="24"/>
        </w:rPr>
        <w:t xml:space="preserve"> </w:t>
      </w:r>
      <w:r>
        <w:rPr>
          <w:rFonts w:ascii="Verdana" w:hAnsi="Verdana"/>
          <w:sz w:val="28"/>
          <w:szCs w:val="28"/>
        </w:rPr>
        <w:t>Please make sure it is the 4th addition.</w:t>
      </w:r>
    </w:p>
    <w:p w:rsidR="00724B9E" w:rsidRDefault="001F2230">
      <w:pPr>
        <w:pStyle w:val="Default"/>
        <w:rPr>
          <w:rFonts w:ascii="Times New Roman" w:eastAsia="Times New Roman" w:hAnsi="Times New Roman" w:cs="Times New Roman"/>
          <w:sz w:val="36"/>
          <w:szCs w:val="36"/>
        </w:rPr>
      </w:pPr>
      <w:r>
        <w:rPr>
          <w:rFonts w:ascii="Verdana" w:hAnsi="Verdana"/>
          <w:b/>
          <w:bCs/>
          <w:sz w:val="28"/>
          <w:szCs w:val="28"/>
        </w:rPr>
        <w:t>If found eligible what services can I receive through the OPWDD waiver program?</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Community Habilitation</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Day Habilitation</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Supported Employment</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lang w:val="fr-FR"/>
        </w:rPr>
        <w:t>Prevocational Services</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lang w:val="da-DK"/>
        </w:rPr>
        <w:t>Respite</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Adaptive Devices</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Environmental Modifications</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Plan of Care Support Services</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Family Education and Training</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CSS-Self Determination</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Intensive Behavioral Support</w:t>
      </w:r>
    </w:p>
    <w:p w:rsidR="00724B9E" w:rsidRDefault="001F2230">
      <w:pPr>
        <w:pStyle w:val="Default"/>
        <w:rPr>
          <w:rFonts w:ascii="Times New Roman" w:eastAsia="Times New Roman" w:hAnsi="Times New Roman" w:cs="Times New Roman"/>
          <w:sz w:val="36"/>
          <w:szCs w:val="36"/>
        </w:rPr>
      </w:pPr>
      <w:r>
        <w:rPr>
          <w:rFonts w:ascii="Times New Roman" w:hAnsi="Times New Roman"/>
          <w:sz w:val="36"/>
          <w:szCs w:val="36"/>
        </w:rPr>
        <w:t> </w:t>
      </w:r>
    </w:p>
    <w:p w:rsidR="00724B9E" w:rsidRDefault="001F2230">
      <w:pPr>
        <w:pStyle w:val="Default"/>
        <w:rPr>
          <w:rFonts w:ascii="Times New Roman" w:eastAsia="Times New Roman" w:hAnsi="Times New Roman" w:cs="Times New Roman"/>
          <w:sz w:val="36"/>
          <w:szCs w:val="36"/>
        </w:rPr>
      </w:pPr>
      <w:r>
        <w:rPr>
          <w:rFonts w:ascii="Symbol" w:hAnsi="Symbol"/>
          <w:sz w:val="24"/>
          <w:szCs w:val="24"/>
        </w:rPr>
        <w:t></w:t>
      </w:r>
      <w:r>
        <w:rPr>
          <w:rFonts w:ascii="Symbol" w:hAnsi="Symbol"/>
          <w:sz w:val="24"/>
          <w:szCs w:val="24"/>
        </w:rPr>
        <w:t></w:t>
      </w:r>
      <w:r>
        <w:rPr>
          <w:rFonts w:ascii="Verdana" w:hAnsi="Verdana"/>
          <w:sz w:val="28"/>
          <w:szCs w:val="28"/>
        </w:rPr>
        <w:t>There are also housing subsidies and transition funds for those moving independently into the community.</w:t>
      </w:r>
    </w:p>
    <w:p w:rsidR="00724B9E" w:rsidRDefault="001F2230">
      <w:pPr>
        <w:pStyle w:val="Default"/>
      </w:pPr>
      <w:r>
        <w:rPr>
          <w:rFonts w:ascii="Times New Roman" w:hAnsi="Times New Roman"/>
          <w:sz w:val="36"/>
          <w:szCs w:val="36"/>
        </w:rPr>
        <w:t> </w:t>
      </w:r>
    </w:p>
    <w:sectPr w:rsidR="00724B9E">
      <w:headerReference w:type="default" r:id="rId7"/>
      <w:footerReference w:type="default" r:id="rId8"/>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4DBD" w:rsidRDefault="00CA4DBD">
      <w:r>
        <w:separator/>
      </w:r>
    </w:p>
  </w:endnote>
  <w:endnote w:type="continuationSeparator" w:id="0">
    <w:p w:rsidR="00CA4DBD" w:rsidRDefault="00CA4D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altName w:val="Sylfaen"/>
    <w:charset w:val="00"/>
    <w:family w:val="auto"/>
    <w:pitch w:val="variable"/>
    <w:sig w:usb0="E50002FF" w:usb1="500079DB" w:usb2="00000010" w:usb3="00000000" w:csb0="00000001" w:csb1="00000000"/>
  </w:font>
  <w:font w:name="Verdana">
    <w:panose1 w:val="020B0604030504040204"/>
    <w:charset w:val="00"/>
    <w:family w:val="swiss"/>
    <w:pitch w:val="variable"/>
    <w:sig w:usb0="A10006FF" w:usb1="4000205B" w:usb2="0000001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B9E" w:rsidRDefault="00724B9E"/>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4DBD" w:rsidRDefault="00CA4DBD">
      <w:r>
        <w:separator/>
      </w:r>
    </w:p>
  </w:footnote>
  <w:footnote w:type="continuationSeparator" w:id="0">
    <w:p w:rsidR="00CA4DBD" w:rsidRDefault="00CA4D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24B9E" w:rsidRDefault="00724B9E"/>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24B9E"/>
    <w:rsid w:val="00065D93"/>
    <w:rsid w:val="001F2230"/>
    <w:rsid w:val="00724B9E"/>
    <w:rsid w:val="00CA1CC9"/>
    <w:rsid w:val="00CA4DB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DE3C03-7972-504D-B3CB-6EFE23740A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Neue" w:hAnsi="Helvetica Neue" w:cs="Arial Unicode MS"/>
      <w:color w:val="000000"/>
      <w:sz w:val="22"/>
      <w:szCs w:val="22"/>
    </w:rPr>
  </w:style>
  <w:style w:type="character" w:customStyle="1" w:styleId="Hyperlink0">
    <w:name w:val="Hyperlink.0"/>
    <w:basedOn w:val="Hyperlink"/>
    <w:rPr>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3.opwdd.ny.gov/wp/images/6-3-13_resource_booklet_final_draft.pdf"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648</Words>
  <Characters>3700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 Colpoys</dc:creator>
  <cp:lastModifiedBy>dcolpoys</cp:lastModifiedBy>
  <cp:revision>2</cp:revision>
  <dcterms:created xsi:type="dcterms:W3CDTF">2018-03-07T17:31:00Z</dcterms:created>
  <dcterms:modified xsi:type="dcterms:W3CDTF">2018-03-07T17:31:00Z</dcterms:modified>
</cp:coreProperties>
</file>